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911ABD" w:rsidP="00213F55">
      <w:pPr>
        <w:jc w:val="center"/>
        <w:rPr>
          <w:rFonts w:ascii="Arial" w:hAnsi="Arial" w:cs="Arial"/>
          <w:i/>
          <w:sz w:val="28"/>
        </w:rPr>
      </w:pPr>
      <w:r>
        <w:rPr>
          <w:rFonts w:ascii="Arial" w:hAnsi="Arial" w:cs="Arial"/>
          <w:b/>
          <w:sz w:val="22"/>
        </w:rPr>
        <w:t>MTWR</w:t>
      </w:r>
      <w:r w:rsidR="00213F55">
        <w:rPr>
          <w:rFonts w:ascii="Arial" w:hAnsi="Arial" w:cs="Arial"/>
          <w:b/>
          <w:sz w:val="22"/>
        </w:rPr>
        <w:t xml:space="preserve">, </w:t>
      </w:r>
      <w:r>
        <w:rPr>
          <w:rFonts w:ascii="Arial" w:hAnsi="Arial" w:cs="Arial"/>
          <w:b/>
          <w:sz w:val="22"/>
        </w:rPr>
        <w:t>2</w:t>
      </w:r>
      <w:r w:rsidR="007476DC" w:rsidRPr="007476DC">
        <w:rPr>
          <w:rFonts w:ascii="Arial" w:hAnsi="Arial" w:cs="Arial"/>
          <w:b/>
          <w:sz w:val="22"/>
        </w:rPr>
        <w:t>:</w:t>
      </w:r>
      <w:r>
        <w:rPr>
          <w:rFonts w:ascii="Arial" w:hAnsi="Arial" w:cs="Arial"/>
          <w:b/>
          <w:sz w:val="22"/>
        </w:rPr>
        <w:t>00</w:t>
      </w:r>
      <w:r w:rsidR="007476DC">
        <w:rPr>
          <w:rFonts w:ascii="Arial" w:hAnsi="Arial" w:cs="Arial"/>
          <w:b/>
          <w:sz w:val="22"/>
        </w:rPr>
        <w:t xml:space="preserve"> </w:t>
      </w:r>
      <w:r>
        <w:rPr>
          <w:rFonts w:ascii="Arial" w:hAnsi="Arial" w:cs="Arial"/>
          <w:b/>
          <w:sz w:val="22"/>
        </w:rPr>
        <w:t>p</w:t>
      </w:r>
      <w:r w:rsidR="007476DC" w:rsidRPr="007476DC">
        <w:rPr>
          <w:rFonts w:ascii="Arial" w:hAnsi="Arial" w:cs="Arial"/>
          <w:b/>
          <w:sz w:val="22"/>
        </w:rPr>
        <w:t xml:space="preserve">m - </w:t>
      </w:r>
      <w:r>
        <w:rPr>
          <w:rFonts w:ascii="Arial" w:hAnsi="Arial" w:cs="Arial"/>
          <w:b/>
          <w:sz w:val="22"/>
        </w:rPr>
        <w:t>3</w:t>
      </w:r>
      <w:r w:rsidR="007476DC" w:rsidRPr="007476DC">
        <w:rPr>
          <w:rFonts w:ascii="Arial" w:hAnsi="Arial" w:cs="Arial"/>
          <w:b/>
          <w:sz w:val="22"/>
        </w:rPr>
        <w:t>:</w:t>
      </w:r>
      <w:r>
        <w:rPr>
          <w:rFonts w:ascii="Arial" w:hAnsi="Arial" w:cs="Arial"/>
          <w:b/>
          <w:sz w:val="22"/>
        </w:rPr>
        <w:t>2</w:t>
      </w:r>
      <w:r w:rsidR="00914D96">
        <w:rPr>
          <w:rFonts w:ascii="Arial" w:hAnsi="Arial" w:cs="Arial"/>
          <w:b/>
          <w:sz w:val="22"/>
        </w:rPr>
        <w:t>5</w:t>
      </w:r>
      <w:r w:rsidR="007476DC">
        <w:rPr>
          <w:rFonts w:ascii="Arial" w:hAnsi="Arial" w:cs="Arial"/>
          <w:b/>
          <w:sz w:val="22"/>
        </w:rPr>
        <w:t xml:space="preserve"> </w:t>
      </w:r>
      <w:r>
        <w:rPr>
          <w:rFonts w:ascii="Arial" w:hAnsi="Arial" w:cs="Arial"/>
          <w:b/>
          <w:sz w:val="22"/>
        </w:rPr>
        <w:t>p</w:t>
      </w:r>
      <w:r w:rsidR="007476DC" w:rsidRPr="007476DC">
        <w:rPr>
          <w:rFonts w:ascii="Arial" w:hAnsi="Arial" w:cs="Arial"/>
          <w:b/>
          <w:sz w:val="22"/>
        </w:rPr>
        <w:t>m</w:t>
      </w:r>
      <w:r w:rsidR="00AC2C73" w:rsidRPr="00213F55">
        <w:rPr>
          <w:rFonts w:ascii="Arial" w:hAnsi="Arial" w:cs="Arial"/>
          <w:b/>
          <w:sz w:val="22"/>
        </w:rPr>
        <w:t xml:space="preserve"> (Section #</w:t>
      </w:r>
      <w:r>
        <w:rPr>
          <w:rFonts w:ascii="Arial" w:hAnsi="Arial" w:cs="Arial"/>
          <w:b/>
          <w:sz w:val="22"/>
        </w:rPr>
        <w:t>51480</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proofErr w:type="gramStart"/>
      <w:r>
        <w:rPr>
          <w:rFonts w:ascii="Arial" w:hAnsi="Arial" w:cs="Arial"/>
          <w:b/>
          <w:sz w:val="22"/>
        </w:rPr>
        <w:t>Summer</w:t>
      </w:r>
      <w:proofErr w:type="gramEnd"/>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r w:rsidR="00D677A2">
        <w:rPr>
          <w:rFonts w:ascii="Arial" w:hAnsi="Arial" w:cs="Arial"/>
          <w:b/>
          <w:u w:val="single"/>
        </w:rPr>
        <w:br/>
      </w:r>
    </w:p>
    <w:tbl>
      <w:tblPr>
        <w:tblW w:w="9540" w:type="dxa"/>
        <w:tblInd w:w="-5" w:type="dxa"/>
        <w:tblLook w:val="04A0" w:firstRow="1" w:lastRow="0" w:firstColumn="1" w:lastColumn="0" w:noHBand="0" w:noVBand="1"/>
      </w:tblPr>
      <w:tblGrid>
        <w:gridCol w:w="900"/>
        <w:gridCol w:w="900"/>
        <w:gridCol w:w="6560"/>
        <w:gridCol w:w="1180"/>
      </w:tblGrid>
      <w:tr w:rsidR="00D677A2" w:rsidTr="00392A7E">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77A2" w:rsidRDefault="00D677A2">
            <w:pPr>
              <w:jc w:val="center"/>
              <w:rPr>
                <w:rFonts w:ascii="Arial" w:hAnsi="Arial" w:cs="Arial"/>
                <w:color w:val="000000"/>
                <w:sz w:val="20"/>
                <w:szCs w:val="20"/>
              </w:rPr>
            </w:pPr>
            <w:r w:rsidRPr="00947D96">
              <w:rPr>
                <w:rFonts w:ascii="Arial" w:hAnsi="Arial" w:cs="Arial"/>
                <w:b/>
              </w:rPr>
              <w:t>Week</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677A2" w:rsidRDefault="00D677A2">
            <w:pPr>
              <w:jc w:val="center"/>
              <w:rPr>
                <w:rFonts w:ascii="Calibri" w:hAnsi="Calibri"/>
                <w:color w:val="000000"/>
                <w:sz w:val="22"/>
                <w:szCs w:val="22"/>
              </w:rPr>
            </w:pPr>
            <w:r w:rsidRPr="00947D96">
              <w:rPr>
                <w:rFonts w:ascii="Arial" w:hAnsi="Arial" w:cs="Arial"/>
                <w:b/>
              </w:rPr>
              <w:t>Date</w:t>
            </w:r>
          </w:p>
        </w:tc>
        <w:tc>
          <w:tcPr>
            <w:tcW w:w="6560" w:type="dxa"/>
            <w:tcBorders>
              <w:top w:val="single" w:sz="4" w:space="0" w:color="auto"/>
              <w:left w:val="nil"/>
              <w:right w:val="single" w:sz="4" w:space="0" w:color="auto"/>
            </w:tcBorders>
            <w:shd w:val="clear" w:color="auto" w:fill="auto"/>
            <w:noWrap/>
            <w:vAlign w:val="center"/>
          </w:tcPr>
          <w:p w:rsidR="00D677A2" w:rsidRDefault="00D677A2">
            <w:pPr>
              <w:rPr>
                <w:rFonts w:ascii="Arial" w:hAnsi="Arial" w:cs="Arial"/>
                <w:color w:val="000000"/>
                <w:sz w:val="20"/>
                <w:szCs w:val="20"/>
              </w:rPr>
            </w:pPr>
            <w:r w:rsidRPr="00947D96">
              <w:rPr>
                <w:rFonts w:ascii="Arial" w:hAnsi="Arial" w:cs="Arial"/>
                <w:b/>
              </w:rPr>
              <w:t>Topic</w:t>
            </w:r>
          </w:p>
        </w:tc>
        <w:tc>
          <w:tcPr>
            <w:tcW w:w="1180" w:type="dxa"/>
            <w:tcBorders>
              <w:top w:val="single" w:sz="4" w:space="0" w:color="auto"/>
              <w:left w:val="nil"/>
              <w:right w:val="single" w:sz="4" w:space="0" w:color="auto"/>
            </w:tcBorders>
            <w:shd w:val="clear" w:color="auto" w:fill="auto"/>
            <w:noWrap/>
            <w:vAlign w:val="center"/>
          </w:tcPr>
          <w:p w:rsidR="00D677A2" w:rsidRDefault="00D677A2">
            <w:pPr>
              <w:jc w:val="center"/>
              <w:rPr>
                <w:rFonts w:ascii="Arial" w:hAnsi="Arial" w:cs="Arial"/>
                <w:color w:val="000000"/>
                <w:sz w:val="20"/>
                <w:szCs w:val="20"/>
              </w:rPr>
            </w:pPr>
            <w:r w:rsidRPr="00947D96">
              <w:rPr>
                <w:rFonts w:ascii="Arial" w:hAnsi="Arial" w:cs="Arial"/>
                <w:b/>
              </w:rPr>
              <w:t>Chapter</w:t>
            </w:r>
          </w:p>
        </w:tc>
      </w:tr>
      <w:tr w:rsidR="00911ABD" w:rsidTr="00392A7E">
        <w:trPr>
          <w:trHeight w:val="317"/>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18-May</w:t>
            </w:r>
          </w:p>
        </w:tc>
        <w:tc>
          <w:tcPr>
            <w:tcW w:w="6560" w:type="dxa"/>
            <w:vMerge w:val="restart"/>
            <w:tcBorders>
              <w:top w:val="single" w:sz="4" w:space="0" w:color="auto"/>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Introduction</w:t>
            </w:r>
          </w:p>
        </w:tc>
        <w:tc>
          <w:tcPr>
            <w:tcW w:w="1180" w:type="dxa"/>
            <w:vMerge w:val="restart"/>
            <w:tcBorders>
              <w:top w:val="single" w:sz="4" w:space="0" w:color="auto"/>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1</w:t>
            </w: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19-May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20-May</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Exploring the Oceans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21-May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25-May</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Memorial Day - Campus Closed</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26-May</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Plate Tectonics &amp; Video &amp; Map Activity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27-May</w:t>
            </w:r>
          </w:p>
        </w:tc>
        <w:tc>
          <w:tcPr>
            <w:tcW w:w="6560" w:type="dxa"/>
            <w:vMerge/>
            <w:tcBorders>
              <w:left w:val="nil"/>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28-May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3</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Plate Tectonics &amp; Video &amp; Map Activity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rPr>
                <w:rFonts w:ascii="Arial" w:hAnsi="Arial" w:cs="Arial"/>
                <w:color w:val="000000"/>
                <w:sz w:val="20"/>
                <w:szCs w:val="20"/>
              </w:rPr>
            </w:pPr>
            <w:r>
              <w:rPr>
                <w:rFonts w:ascii="Arial" w:hAnsi="Arial" w:cs="Arial"/>
                <w:color w:val="000000"/>
                <w:sz w:val="20"/>
                <w:szCs w:val="20"/>
              </w:rPr>
              <w:t xml:space="preserve">Lecture: Marine Provinces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jc w:val="center"/>
              <w:rPr>
                <w:rFonts w:ascii="Arial" w:hAnsi="Arial" w:cs="Arial"/>
                <w:color w:val="000000"/>
                <w:sz w:val="20"/>
                <w:szCs w:val="20"/>
              </w:rPr>
            </w:pPr>
            <w:r>
              <w:rPr>
                <w:rFonts w:ascii="Arial" w:hAnsi="Arial" w:cs="Arial"/>
                <w:color w:val="000000"/>
                <w:sz w:val="20"/>
                <w:szCs w:val="20"/>
              </w:rPr>
              <w:t xml:space="preserve">3 </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3-Jun</w:t>
            </w:r>
          </w:p>
        </w:tc>
        <w:tc>
          <w:tcPr>
            <w:tcW w:w="6560" w:type="dxa"/>
            <w:vMerge w:val="restart"/>
            <w:tcBorders>
              <w:top w:val="nil"/>
              <w:left w:val="nil"/>
              <w:right w:val="single" w:sz="4" w:space="0" w:color="auto"/>
            </w:tcBorders>
            <w:shd w:val="clear" w:color="auto" w:fill="auto"/>
            <w:noWrap/>
            <w:vAlign w:val="center"/>
            <w:hideMark/>
          </w:tcPr>
          <w:p w:rsidR="00911ABD" w:rsidRDefault="00911ABD" w:rsidP="00911ABD">
            <w:pPr>
              <w:rPr>
                <w:rFonts w:ascii="Arial" w:hAnsi="Arial" w:cs="Arial"/>
                <w:color w:val="000000"/>
                <w:sz w:val="20"/>
                <w:szCs w:val="20"/>
              </w:rPr>
            </w:pPr>
            <w:r>
              <w:rPr>
                <w:rFonts w:ascii="Arial" w:hAnsi="Arial" w:cs="Arial"/>
                <w:color w:val="000000"/>
                <w:sz w:val="20"/>
                <w:szCs w:val="20"/>
              </w:rPr>
              <w:t>Lecture: Marine Sediments</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4</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4-Jun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8-Jun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9-Jun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10-Jun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MIDTERM EXAM</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11-Jun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b/>
                <w:bCs/>
                <w:color w:val="000000"/>
                <w:sz w:val="20"/>
                <w:szCs w:val="20"/>
              </w:rPr>
              <w:t>Video &amp; Video Review</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15-Jun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5</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16-Jun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17-Jun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Atmospheric Circulation &amp; Activity part 1</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6</w:t>
            </w:r>
          </w:p>
        </w:tc>
        <w:bookmarkStart w:id="0" w:name="_GoBack"/>
        <w:bookmarkEnd w:id="0"/>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18-Jun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22-Jun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Oceanic Circulation &amp; Activity part 2</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7</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23-Jun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24-Jun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Waves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9</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25-Jun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7</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29-Jun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Tides &amp; Tidal Patterns Activity</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9</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30-Jun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Video &amp; Video Review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8</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1-Jul</w:t>
            </w:r>
          </w:p>
        </w:tc>
        <w:tc>
          <w:tcPr>
            <w:tcW w:w="6560" w:type="dxa"/>
            <w:vMerge w:val="restart"/>
            <w:tcBorders>
              <w:top w:val="nil"/>
              <w:left w:val="nil"/>
              <w:right w:val="single" w:sz="4" w:space="0" w:color="auto"/>
            </w:tcBorders>
            <w:shd w:val="clear" w:color="auto" w:fill="auto"/>
            <w:noWrap/>
            <w:vAlign w:val="center"/>
            <w:hideMark/>
          </w:tcPr>
          <w:p w:rsidR="00911ABD" w:rsidRDefault="00911ABD" w:rsidP="00C8027B">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180" w:type="dxa"/>
            <w:vMerge w:val="restart"/>
            <w:tcBorders>
              <w:top w:val="nil"/>
              <w:left w:val="nil"/>
              <w:right w:val="single" w:sz="4" w:space="0" w:color="auto"/>
            </w:tcBorders>
            <w:shd w:val="clear" w:color="auto" w:fill="auto"/>
            <w:noWrap/>
            <w:vAlign w:val="center"/>
            <w:hideMark/>
          </w:tcPr>
          <w:p w:rsidR="00911ABD" w:rsidRDefault="00911ABD" w:rsidP="00911ABD">
            <w:pPr>
              <w:jc w:val="center"/>
              <w:rPr>
                <w:rFonts w:ascii="Arial" w:hAnsi="Arial" w:cs="Arial"/>
                <w:color w:val="000000"/>
                <w:sz w:val="20"/>
                <w:szCs w:val="20"/>
              </w:rPr>
            </w:pPr>
            <w:r>
              <w:rPr>
                <w:rFonts w:ascii="Arial" w:hAnsi="Arial" w:cs="Arial"/>
                <w:color w:val="000000"/>
                <w:sz w:val="20"/>
                <w:szCs w:val="20"/>
              </w:rPr>
              <w:t>10</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2-Jul</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8</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6-Jul</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 xml:space="preserve">PRESENTATIONS (co-evaluations and group evaluations due TODAY) &amp; last day to turn in extra credit! </w:t>
            </w:r>
            <w:r>
              <w:rPr>
                <w:rFonts w:ascii="Arial" w:hAnsi="Arial" w:cs="Arial"/>
                <w:b/>
                <w:bCs/>
                <w:i/>
                <w:iCs/>
                <w:color w:val="000000"/>
                <w:sz w:val="20"/>
                <w:szCs w:val="20"/>
              </w:rPr>
              <w:t>NO EXCEPTIONS</w:t>
            </w:r>
            <w:r>
              <w:rPr>
                <w:rFonts w:ascii="Arial" w:hAnsi="Arial" w:cs="Arial"/>
                <w:b/>
                <w:bCs/>
                <w:color w:val="000000"/>
                <w:sz w:val="20"/>
                <w:szCs w:val="20"/>
              </w:rPr>
              <w:t>!</w:t>
            </w:r>
          </w:p>
        </w:tc>
        <w:tc>
          <w:tcPr>
            <w:tcW w:w="1180" w:type="dxa"/>
            <w:vMerge w:val="restart"/>
            <w:tcBorders>
              <w:top w:val="nil"/>
              <w:left w:val="nil"/>
              <w:right w:val="single" w:sz="4" w:space="0" w:color="auto"/>
            </w:tcBorders>
            <w:shd w:val="clear" w:color="auto" w:fill="auto"/>
            <w:noWrap/>
            <w:vAlign w:val="center"/>
            <w:hideMark/>
          </w:tcPr>
          <w:p w:rsidR="00911ABD" w:rsidRDefault="00911ABD" w:rsidP="00911ABD">
            <w:pPr>
              <w:jc w:val="center"/>
              <w:rPr>
                <w:rFonts w:ascii="Arial" w:hAnsi="Arial" w:cs="Arial"/>
                <w:b/>
                <w:bCs/>
                <w:color w:val="000000"/>
                <w:sz w:val="20"/>
                <w:szCs w:val="20"/>
              </w:rPr>
            </w:pPr>
            <w:r>
              <w:rPr>
                <w:rFonts w:ascii="Arial" w:hAnsi="Arial" w:cs="Arial"/>
                <w:b/>
                <w:bCs/>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7-Jul</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8-Jul</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rPr>
                <w:rFonts w:ascii="Arial" w:hAnsi="Arial" w:cs="Arial"/>
                <w:b/>
                <w:bCs/>
                <w:color w:val="000000"/>
                <w:sz w:val="20"/>
                <w:szCs w:val="20"/>
              </w:rPr>
            </w:pPr>
            <w:r>
              <w:rPr>
                <w:rFonts w:ascii="Arial" w:hAnsi="Arial" w:cs="Arial"/>
                <w:b/>
                <w:bCs/>
                <w:color w:val="000000"/>
                <w:sz w:val="20"/>
                <w:szCs w:val="20"/>
              </w:rPr>
              <w:t>FINAL EXAM - 2:00 p.m. to 4:00 p.m.</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 </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892663">
            <w:pPr>
              <w:rPr>
                <w:rFonts w:ascii="Arial" w:hAnsi="Arial" w:cs="Arial"/>
                <w:sz w:val="20"/>
                <w:szCs w:val="20"/>
              </w:rPr>
            </w:pPr>
            <w:r w:rsidRPr="00853977">
              <w:rPr>
                <w:rFonts w:ascii="Arial" w:hAnsi="Arial" w:cs="Arial"/>
                <w:sz w:val="20"/>
                <w:szCs w:val="20"/>
              </w:rPr>
              <w:t>Plate Tectonic Maps Project (3 maps</w:t>
            </w:r>
            <w:r w:rsidR="00892663">
              <w:rPr>
                <w:rFonts w:ascii="Arial" w:hAnsi="Arial" w:cs="Arial"/>
                <w:sz w:val="20"/>
                <w:szCs w:val="20"/>
              </w:rPr>
              <w:t xml:space="preserve"> + questions</w:t>
            </w:r>
            <w:r w:rsidRPr="00853977">
              <w:rPr>
                <w:rFonts w:ascii="Arial"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911ABD" w:rsidP="00BA511E">
            <w:pPr>
              <w:pStyle w:val="Default"/>
              <w:jc w:val="center"/>
              <w:rPr>
                <w:sz w:val="20"/>
                <w:szCs w:val="20"/>
              </w:rPr>
            </w:pPr>
            <w:r>
              <w:rPr>
                <w:sz w:val="20"/>
                <w:szCs w:val="20"/>
              </w:rPr>
              <w:t>6/04</w:t>
            </w:r>
          </w:p>
        </w:tc>
      </w:tr>
      <w:tr w:rsidR="00BB5A6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892663">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911ABD" w:rsidP="00BB5A66">
            <w:pPr>
              <w:jc w:val="center"/>
              <w:rPr>
                <w:rFonts w:ascii="Arial" w:hAnsi="Arial" w:cs="Arial"/>
                <w:sz w:val="20"/>
                <w:szCs w:val="20"/>
              </w:rPr>
            </w:pPr>
            <w:r>
              <w:rPr>
                <w:rFonts w:ascii="Arial" w:hAnsi="Arial" w:cs="Arial"/>
                <w:sz w:val="20"/>
                <w:szCs w:val="20"/>
              </w:rPr>
              <w:t>6/08</w:t>
            </w:r>
          </w:p>
        </w:tc>
      </w:tr>
      <w:tr w:rsidR="00BA511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C8027B" w:rsidP="00BA511E">
            <w:pPr>
              <w:jc w:val="center"/>
              <w:rPr>
                <w:rFonts w:ascii="Arial" w:hAnsi="Arial" w:cs="Arial"/>
                <w:sz w:val="20"/>
                <w:szCs w:val="20"/>
              </w:rPr>
            </w:pPr>
            <w:r>
              <w:rPr>
                <w:rFonts w:ascii="Arial" w:hAnsi="Arial" w:cs="Arial"/>
                <w:sz w:val="20"/>
                <w:szCs w:val="20"/>
              </w:rPr>
              <w:t>6/15</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C8027B">
            <w:pPr>
              <w:jc w:val="center"/>
              <w:rPr>
                <w:rFonts w:ascii="Arial" w:hAnsi="Arial" w:cs="Arial"/>
                <w:sz w:val="20"/>
                <w:szCs w:val="20"/>
              </w:rPr>
            </w:pPr>
            <w:r>
              <w:rPr>
                <w:rFonts w:ascii="Arial" w:hAnsi="Arial" w:cs="Arial"/>
                <w:sz w:val="20"/>
                <w:szCs w:val="20"/>
              </w:rPr>
              <w:t>6/18</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 xml:space="preserve">Atmospheric &amp; Oceanic Circulation Maps </w:t>
            </w:r>
            <w:r>
              <w:rPr>
                <w:rFonts w:ascii="Arial" w:hAnsi="Arial" w:cs="Arial"/>
                <w:sz w:val="20"/>
                <w:szCs w:val="20"/>
              </w:rPr>
              <w:t>+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6/29</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C8027B" w:rsidP="00FF5D9E">
            <w:pPr>
              <w:pStyle w:val="Default"/>
              <w:jc w:val="center"/>
              <w:rPr>
                <w:sz w:val="20"/>
                <w:szCs w:val="20"/>
              </w:rPr>
            </w:pPr>
            <w:r>
              <w:rPr>
                <w:sz w:val="20"/>
                <w:szCs w:val="20"/>
              </w:rPr>
              <w:t>7/06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8" w:type="dxa"/>
        <w:tblLook w:val="04A0" w:firstRow="1" w:lastRow="0" w:firstColumn="1" w:lastColumn="0" w:noHBand="0" w:noVBand="1"/>
      </w:tblPr>
      <w:tblGrid>
        <w:gridCol w:w="1635"/>
        <w:gridCol w:w="5580"/>
        <w:gridCol w:w="247"/>
        <w:gridCol w:w="2003"/>
      </w:tblGrid>
      <w:tr w:rsidR="004E6001" w:rsidRPr="00F70A80" w:rsidTr="00C11876">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78"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5/25</w:t>
                  </w:r>
                </w:p>
              </w:tc>
              <w:tc>
                <w:tcPr>
                  <w:tcW w:w="284"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5/31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6/7</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6/7</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6/8</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6/14</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6/8</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6/14</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6/15</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6/15</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6/22</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6/28</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Waves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6/22</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6/28</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Coastal Processes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6/29</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7/5</w:t>
                  </w:r>
                </w:p>
              </w:tc>
            </w:tr>
          </w:tbl>
          <w:p w:rsidR="00B32760" w:rsidRDefault="00B32760" w:rsidP="00C8027B">
            <w:pPr>
              <w:pStyle w:val="Default"/>
              <w:jc w:val="center"/>
              <w:rPr>
                <w:sz w:val="20"/>
                <w:szCs w:val="20"/>
              </w:rPr>
            </w:pP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892663">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FF5D9E">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FF5D9E">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C8027B" w:rsidP="00892663">
            <w:pPr>
              <w:jc w:val="center"/>
              <w:rPr>
                <w:rFonts w:ascii="Arial" w:hAnsi="Arial" w:cs="Arial"/>
                <w:sz w:val="20"/>
                <w:szCs w:val="20"/>
              </w:rPr>
            </w:pPr>
            <w:r>
              <w:rPr>
                <w:rFonts w:ascii="Arial" w:hAnsi="Arial" w:cs="Arial"/>
                <w:sz w:val="20"/>
                <w:szCs w:val="20"/>
              </w:rPr>
              <w:t>6/10</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1D38DA" w:rsidP="00892663">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FF5D9E" w:rsidP="00892663">
            <w:pPr>
              <w:rPr>
                <w:rFonts w:ascii="Arial" w:hAnsi="Arial" w:cs="Arial"/>
                <w:sz w:val="20"/>
                <w:szCs w:val="20"/>
              </w:rPr>
            </w:pPr>
            <w:r>
              <w:rPr>
                <w:rFonts w:ascii="Arial" w:hAnsi="Arial" w:cs="Arial"/>
                <w:sz w:val="20"/>
                <w:szCs w:val="20"/>
              </w:rPr>
              <w:t>Seawater</w:t>
            </w:r>
            <w:r w:rsidR="001D38DA">
              <w:rPr>
                <w:rFonts w:ascii="Arial" w:hAnsi="Arial" w:cs="Arial"/>
                <w:sz w:val="20"/>
                <w:szCs w:val="20"/>
              </w:rPr>
              <w:t xml:space="preserve">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C8027B" w:rsidP="00892663">
            <w:pPr>
              <w:jc w:val="center"/>
              <w:rPr>
                <w:rFonts w:ascii="Arial" w:hAnsi="Arial" w:cs="Arial"/>
                <w:sz w:val="20"/>
                <w:szCs w:val="20"/>
              </w:rPr>
            </w:pPr>
            <w:r>
              <w:rPr>
                <w:rFonts w:ascii="Arial" w:hAnsi="Arial" w:cs="Arial"/>
                <w:sz w:val="20"/>
                <w:szCs w:val="20"/>
              </w:rPr>
              <w:t>7/8</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w:t>
      </w:r>
      <w:proofErr w:type="spellStart"/>
      <w:r w:rsidRPr="00292ECC">
        <w:rPr>
          <w:rFonts w:ascii="Arial" w:hAnsi="Arial" w:cs="Arial"/>
          <w:sz w:val="20"/>
          <w:szCs w:val="20"/>
        </w:rPr>
        <w:t>Classware</w:t>
      </w:r>
      <w:proofErr w:type="spellEnd"/>
      <w:r w:rsidRPr="00292ECC">
        <w:rPr>
          <w:rFonts w:ascii="Arial" w:hAnsi="Arial" w:cs="Arial"/>
          <w:sz w:val="20"/>
          <w:szCs w:val="20"/>
        </w:rPr>
        <w:t xml:space="preserve"> assignments located at </w:t>
      </w:r>
      <w:hyperlink r:id="rId9"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0"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A5CB3"/>
    <w:rsid w:val="001B157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92ECC"/>
    <w:rsid w:val="002A4D07"/>
    <w:rsid w:val="00312A8D"/>
    <w:rsid w:val="003275E3"/>
    <w:rsid w:val="00332481"/>
    <w:rsid w:val="0033267C"/>
    <w:rsid w:val="00337383"/>
    <w:rsid w:val="00337BB9"/>
    <w:rsid w:val="0036670B"/>
    <w:rsid w:val="0037292B"/>
    <w:rsid w:val="0037664A"/>
    <w:rsid w:val="00392790"/>
    <w:rsid w:val="00392A7E"/>
    <w:rsid w:val="00396885"/>
    <w:rsid w:val="003A41F2"/>
    <w:rsid w:val="003A67B4"/>
    <w:rsid w:val="003B753D"/>
    <w:rsid w:val="003E1089"/>
    <w:rsid w:val="003E185F"/>
    <w:rsid w:val="003E6E17"/>
    <w:rsid w:val="004256C7"/>
    <w:rsid w:val="004713BE"/>
    <w:rsid w:val="00477D0D"/>
    <w:rsid w:val="00483293"/>
    <w:rsid w:val="00487710"/>
    <w:rsid w:val="00494088"/>
    <w:rsid w:val="004D546A"/>
    <w:rsid w:val="004E3C11"/>
    <w:rsid w:val="004E6001"/>
    <w:rsid w:val="004F3ADD"/>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2B5F"/>
    <w:rsid w:val="00613820"/>
    <w:rsid w:val="00615262"/>
    <w:rsid w:val="00621733"/>
    <w:rsid w:val="00677401"/>
    <w:rsid w:val="006836BE"/>
    <w:rsid w:val="006927A3"/>
    <w:rsid w:val="00692E79"/>
    <w:rsid w:val="006B0254"/>
    <w:rsid w:val="006C771B"/>
    <w:rsid w:val="006E0486"/>
    <w:rsid w:val="006E7994"/>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1ABD"/>
    <w:rsid w:val="00914D96"/>
    <w:rsid w:val="0091744A"/>
    <w:rsid w:val="00934EB8"/>
    <w:rsid w:val="0094471D"/>
    <w:rsid w:val="00947D96"/>
    <w:rsid w:val="0095330F"/>
    <w:rsid w:val="00955566"/>
    <w:rsid w:val="00975DA7"/>
    <w:rsid w:val="00977A54"/>
    <w:rsid w:val="009919E2"/>
    <w:rsid w:val="009C6BAD"/>
    <w:rsid w:val="009D4387"/>
    <w:rsid w:val="009D522D"/>
    <w:rsid w:val="00A00CD2"/>
    <w:rsid w:val="00A02EA5"/>
    <w:rsid w:val="00A2560D"/>
    <w:rsid w:val="00A373A3"/>
    <w:rsid w:val="00AB0836"/>
    <w:rsid w:val="00AC2C73"/>
    <w:rsid w:val="00AD7521"/>
    <w:rsid w:val="00B07714"/>
    <w:rsid w:val="00B32760"/>
    <w:rsid w:val="00B41DDE"/>
    <w:rsid w:val="00B43CB0"/>
    <w:rsid w:val="00B54FFB"/>
    <w:rsid w:val="00B6690A"/>
    <w:rsid w:val="00BA511E"/>
    <w:rsid w:val="00BA60AA"/>
    <w:rsid w:val="00BB5A66"/>
    <w:rsid w:val="00BB6AF5"/>
    <w:rsid w:val="00BC6E0D"/>
    <w:rsid w:val="00BC773E"/>
    <w:rsid w:val="00BE3D6D"/>
    <w:rsid w:val="00BE5D54"/>
    <w:rsid w:val="00BF3613"/>
    <w:rsid w:val="00C11876"/>
    <w:rsid w:val="00C360E9"/>
    <w:rsid w:val="00C51BAF"/>
    <w:rsid w:val="00C63E3D"/>
    <w:rsid w:val="00C7073A"/>
    <w:rsid w:val="00C7424B"/>
    <w:rsid w:val="00C8027B"/>
    <w:rsid w:val="00C83808"/>
    <w:rsid w:val="00C87F8F"/>
    <w:rsid w:val="00CA453D"/>
    <w:rsid w:val="00CC74B2"/>
    <w:rsid w:val="00CD0C04"/>
    <w:rsid w:val="00CE1B35"/>
    <w:rsid w:val="00CF0F75"/>
    <w:rsid w:val="00D37526"/>
    <w:rsid w:val="00D5506C"/>
    <w:rsid w:val="00D677A2"/>
    <w:rsid w:val="00DA7829"/>
    <w:rsid w:val="00DB20C5"/>
    <w:rsid w:val="00DB6ED5"/>
    <w:rsid w:val="00DC2B06"/>
    <w:rsid w:val="00DC2C7E"/>
    <w:rsid w:val="00DC4B26"/>
    <w:rsid w:val="00E1728E"/>
    <w:rsid w:val="00E17BEA"/>
    <w:rsid w:val="00E331C7"/>
    <w:rsid w:val="00E43186"/>
    <w:rsid w:val="00E62E84"/>
    <w:rsid w:val="00E74461"/>
    <w:rsid w:val="00E97158"/>
    <w:rsid w:val="00EC4E8E"/>
    <w:rsid w:val="00ED69F3"/>
    <w:rsid w:val="00F4709D"/>
    <w:rsid w:val="00F81856"/>
    <w:rsid w:val="00F84C1E"/>
    <w:rsid w:val="00FC0260"/>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18500223">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61516928">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ps.prenhall.com/esm_thurman_essofocean_8" TargetMode="Externa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1</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20888</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Leyva, Sonjia Marie</cp:lastModifiedBy>
  <cp:revision>6</cp:revision>
  <cp:lastPrinted>2015-05-05T02:11:00Z</cp:lastPrinted>
  <dcterms:created xsi:type="dcterms:W3CDTF">2015-05-05T01:47:00Z</dcterms:created>
  <dcterms:modified xsi:type="dcterms:W3CDTF">2015-05-05T14:12:00Z</dcterms:modified>
</cp:coreProperties>
</file>